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C7F" w:rsidRPr="00C85100" w:rsidRDefault="002E3C7F" w:rsidP="002E3C7F">
      <w:pPr>
        <w:jc w:val="center"/>
        <w:rPr>
          <w:b/>
        </w:rPr>
      </w:pPr>
      <w:r>
        <w:rPr>
          <w:b/>
        </w:rPr>
        <w:t xml:space="preserve">Оформить рисунки по </w:t>
      </w:r>
      <w:r w:rsidR="00985121">
        <w:rPr>
          <w:b/>
        </w:rPr>
        <w:t>правилам</w:t>
      </w:r>
      <w:bookmarkStart w:id="0" w:name="_GoBack"/>
      <w:bookmarkEnd w:id="0"/>
      <w:r w:rsidRPr="00C85100">
        <w:rPr>
          <w:b/>
        </w:rPr>
        <w:t>.</w:t>
      </w:r>
    </w:p>
    <w:p w:rsidR="002E3C7F" w:rsidRDefault="002E3C7F" w:rsidP="002E3C7F"/>
    <w:p w:rsidR="002E3C7F" w:rsidRDefault="002E3C7F" w:rsidP="002E3C7F">
      <w:pPr>
        <w:pStyle w:val="a7"/>
        <w:numPr>
          <w:ilvl w:val="0"/>
          <w:numId w:val="15"/>
        </w:numPr>
      </w:pPr>
      <w:r>
        <w:t>Обычный рисунок в тексте</w:t>
      </w:r>
    </w:p>
    <w:p w:rsidR="002E3C7F" w:rsidRDefault="002E3C7F" w:rsidP="002E3C7F"/>
    <w:p w:rsidR="0007315B" w:rsidRDefault="0007315B" w:rsidP="0007315B">
      <w:pPr>
        <w:spacing w:line="360" w:lineRule="auto"/>
        <w:ind w:firstLine="709"/>
      </w:pPr>
      <w:r>
        <w:t>В случае использования топологии "кольцо" (рисунок 3.2) данные передаются от одного компьютера к другому как бы по эстафете. Если компьютер получит данные, предназначенные для другого компьютера, он передает их дальше по кольцу. Если данные предназначены для получившего их компьютера, они дальше не передаются.</w:t>
      </w:r>
    </w:p>
    <w:p w:rsidR="0081629A" w:rsidRDefault="0007315B" w:rsidP="0007315B">
      <w:pPr>
        <w:spacing w:line="360" w:lineRule="auto"/>
        <w:ind w:firstLine="709"/>
      </w:pPr>
      <w:r>
        <w:t xml:space="preserve">Локальная сеть может использовать одну из перечисленных топологий. Это зависит от количества объединяемых компьютеров, их взаимного расположения и других условий. Можно также объединить несколько локальных сетей, выполненных с использованием разных топологий, в единую локальную сеть. </w:t>
      </w:r>
    </w:p>
    <w:p w:rsidR="0007315B" w:rsidRDefault="0007315B" w:rsidP="0007315B">
      <w:pPr>
        <w:spacing w:line="360" w:lineRule="auto"/>
        <w:ind w:firstLine="709"/>
      </w:pPr>
    </w:p>
    <w:p w:rsidR="00C85100" w:rsidRDefault="005F0D15" w:rsidP="00C85100">
      <w:r>
        <w:t xml:space="preserve">Рисунок </w:t>
      </w:r>
      <w:r w:rsidR="00C94D6A">
        <w:t>1.4</w:t>
      </w:r>
      <w:r w:rsidR="00C85100">
        <w:t>:</w:t>
      </w:r>
      <w:r w:rsidR="0007315B">
        <w:t xml:space="preserve"> Топология «кольцо»</w:t>
      </w:r>
    </w:p>
    <w:p w:rsidR="00466A55" w:rsidRDefault="0007315B" w:rsidP="0081629A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408305</wp:posOffset>
            </wp:positionH>
            <wp:positionV relativeFrom="paragraph">
              <wp:posOffset>635</wp:posOffset>
            </wp:positionV>
            <wp:extent cx="5113655" cy="3345180"/>
            <wp:effectExtent l="0" t="0" r="0" b="7620"/>
            <wp:wrapTopAndBottom/>
            <wp:docPr id="7" name="Рисунок 7" descr="Картинки по запросу топология кольц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топология кольц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655" cy="334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C7F" w:rsidRDefault="002E3C7F" w:rsidP="002E3C7F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2) Составной рисунок (а, </w:t>
      </w:r>
      <w:proofErr w:type="gramStart"/>
      <w:r>
        <w:rPr>
          <w:rFonts w:eastAsia="Calibri"/>
          <w:szCs w:val="28"/>
        </w:rPr>
        <w:t>б</w:t>
      </w:r>
      <w:proofErr w:type="gramEnd"/>
      <w:r>
        <w:rPr>
          <w:rFonts w:eastAsia="Calibri"/>
          <w:szCs w:val="28"/>
        </w:rPr>
        <w:t>, в, …). Задание а) – оформить на одном листе, задание б) – разбить на 2 листа.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C94D6A" w:rsidRPr="007C53EE" w:rsidRDefault="002E3C7F" w:rsidP="00C94D6A">
      <w:pPr>
        <w:spacing w:line="360" w:lineRule="auto"/>
        <w:ind w:firstLine="709"/>
        <w:rPr>
          <w:szCs w:val="28"/>
        </w:rPr>
      </w:pPr>
      <w:r w:rsidRPr="002E3C7F">
        <w:rPr>
          <w:rFonts w:eastAsia="Calibri"/>
          <w:szCs w:val="28"/>
        </w:rPr>
        <w:lastRenderedPageBreak/>
        <w:drawing>
          <wp:inline distT="0" distB="0" distL="0" distR="0" wp14:anchorId="44CB216B" wp14:editId="2C39CD46">
            <wp:extent cx="5940425" cy="1426094"/>
            <wp:effectExtent l="0" t="0" r="3175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26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940" w:rsidRDefault="002E3C7F" w:rsidP="00C85100">
      <w:pPr>
        <w:jc w:val="left"/>
      </w:pPr>
      <w:r w:rsidRPr="002E3C7F">
        <w:rPr>
          <w:noProof/>
        </w:rPr>
        <w:drawing>
          <wp:inline distT="0" distB="0" distL="0" distR="0" wp14:anchorId="3374EC9E" wp14:editId="55DD2B4A">
            <wp:extent cx="5940425" cy="2191869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91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2E3C7F" w:rsidRDefault="002E3C7F" w:rsidP="002E3C7F">
      <w:pPr>
        <w:rPr>
          <w:rFonts w:eastAsia="Calibri"/>
          <w:szCs w:val="28"/>
        </w:rPr>
      </w:pPr>
      <w:r>
        <w:rPr>
          <w:rFonts w:eastAsia="Calibri"/>
          <w:szCs w:val="28"/>
        </w:rPr>
        <w:t>3) Рисунок с пояснениями (выбрать пояснения из текста, оформить по правилам)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2E3C7F" w:rsidRDefault="002E3C7F" w:rsidP="005A6BA2">
      <w:pPr>
        <w:spacing w:line="360" w:lineRule="auto"/>
        <w:jc w:val="center"/>
        <w:rPr>
          <w:rFonts w:asciiTheme="minorHAnsi" w:hAnsiTheme="minorHAnsi"/>
          <w:color w:val="888888"/>
          <w:shd w:val="clear" w:color="auto" w:fill="FFFFFF"/>
        </w:rPr>
      </w:pPr>
      <w:r>
        <w:rPr>
          <w:rFonts w:ascii="Helvetica" w:hAnsi="Helvetica"/>
          <w:color w:val="888888"/>
          <w:shd w:val="clear" w:color="auto" w:fill="FFFFFF"/>
        </w:rPr>
        <w:t>Поперечные разрезы кабелей</w:t>
      </w:r>
      <w:r>
        <w:rPr>
          <w:rFonts w:asciiTheme="minorHAnsi" w:hAnsiTheme="minorHAnsi"/>
          <w:color w:val="888888"/>
          <w:shd w:val="clear" w:color="auto" w:fill="FFFFFF"/>
        </w:rPr>
        <w:t xml:space="preserve"> типа </w:t>
      </w:r>
      <w:r>
        <w:rPr>
          <w:rFonts w:ascii="Helvetica" w:hAnsi="Helvetica"/>
          <w:color w:val="888888"/>
          <w:shd w:val="clear" w:color="auto" w:fill="FFFFFF"/>
        </w:rPr>
        <w:t xml:space="preserve"> МКТ-4 и представлены </w:t>
      </w:r>
      <w:r>
        <w:rPr>
          <w:rFonts w:ascii="Helvetica" w:hAnsi="Helvetica"/>
          <w:color w:val="888888"/>
          <w:shd w:val="clear" w:color="auto" w:fill="FFFFFF"/>
        </w:rPr>
        <w:t>на рис. 4.5</w:t>
      </w:r>
      <w:r>
        <w:rPr>
          <w:rFonts w:ascii="Helvetica" w:hAnsi="Helvetica"/>
          <w:color w:val="888888"/>
          <w:shd w:val="clear" w:color="auto" w:fill="FFFFFF"/>
        </w:rPr>
        <w:t>.</w:t>
      </w:r>
    </w:p>
    <w:p w:rsidR="002E3C7F" w:rsidRDefault="002E3C7F" w:rsidP="002E3C7F">
      <w:pPr>
        <w:pStyle w:val="ac"/>
        <w:shd w:val="clear" w:color="auto" w:fill="FFFFFF"/>
        <w:rPr>
          <w:rFonts w:ascii="Helvetica" w:hAnsi="Helvetica"/>
          <w:color w:val="888888"/>
        </w:rPr>
      </w:pPr>
      <w:r>
        <w:rPr>
          <w:rFonts w:ascii="Helvetica" w:hAnsi="Helvetica"/>
          <w:noProof/>
          <w:color w:val="888888"/>
        </w:rPr>
        <w:drawing>
          <wp:inline distT="0" distB="0" distL="0" distR="0">
            <wp:extent cx="3594100" cy="2849245"/>
            <wp:effectExtent l="0" t="0" r="6350" b="8255"/>
            <wp:docPr id="8" name="Рисунок 8" descr="коаксиальный кабель МКТ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аксиальный кабель МКТ-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0" cy="284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/>
          <w:color w:val="888888"/>
        </w:rPr>
        <w:br/>
        <w:t>Рис. 4.5. Малогабаритный коаксиальный кабель типа МКТ-4:</w:t>
      </w:r>
    </w:p>
    <w:p w:rsidR="002E3C7F" w:rsidRDefault="002E3C7F" w:rsidP="002E3C7F">
      <w:pPr>
        <w:pStyle w:val="ac"/>
        <w:shd w:val="clear" w:color="auto" w:fill="FFFFFF"/>
        <w:rPr>
          <w:rFonts w:ascii="Helvetica" w:hAnsi="Helvetica"/>
          <w:color w:val="888888"/>
        </w:rPr>
      </w:pPr>
      <w:r>
        <w:rPr>
          <w:rFonts w:ascii="Helvetica" w:hAnsi="Helvetica"/>
          <w:color w:val="888888"/>
        </w:rPr>
        <w:t xml:space="preserve">1— поясная изоляция; 2 — свинцовая оболочка; 3 — две </w:t>
      </w:r>
      <w:proofErr w:type="spellStart"/>
      <w:r>
        <w:rPr>
          <w:rFonts w:ascii="Helvetica" w:hAnsi="Helvetica"/>
          <w:color w:val="888888"/>
        </w:rPr>
        <w:t>бронеленты</w:t>
      </w:r>
      <w:proofErr w:type="spellEnd"/>
      <w:r>
        <w:rPr>
          <w:rFonts w:ascii="Helvetica" w:hAnsi="Helvetica"/>
          <w:color w:val="888888"/>
        </w:rPr>
        <w:t xml:space="preserve">; 4 — наружный покров; 5 — </w:t>
      </w:r>
      <w:proofErr w:type="spellStart"/>
      <w:r>
        <w:rPr>
          <w:rFonts w:ascii="Helvetica" w:hAnsi="Helvetica"/>
          <w:color w:val="888888"/>
        </w:rPr>
        <w:t>бронепроволока</w:t>
      </w:r>
      <w:proofErr w:type="spellEnd"/>
      <w:r>
        <w:rPr>
          <w:rFonts w:ascii="Helvetica" w:hAnsi="Helvetica"/>
          <w:color w:val="888888"/>
        </w:rPr>
        <w:t>. Расцветка симметричных пар с конца</w:t>
      </w:r>
      <w:proofErr w:type="gramStart"/>
      <w:r>
        <w:rPr>
          <w:rFonts w:ascii="Helvetica" w:hAnsi="Helvetica"/>
          <w:color w:val="888888"/>
        </w:rPr>
        <w:t xml:space="preserve"> А</w:t>
      </w:r>
      <w:proofErr w:type="gramEnd"/>
      <w:r>
        <w:rPr>
          <w:rFonts w:ascii="Helvetica" w:hAnsi="Helvetica"/>
          <w:color w:val="888888"/>
        </w:rPr>
        <w:t>: 1 — белая-красная 2 белая-зеленая; 3—5 — белая-синяя</w:t>
      </w:r>
    </w:p>
    <w:p w:rsidR="005A6BA2" w:rsidRPr="002E3C7F" w:rsidRDefault="005A6BA2" w:rsidP="005A6BA2">
      <w:pPr>
        <w:spacing w:line="360" w:lineRule="auto"/>
        <w:jc w:val="center"/>
      </w:pPr>
    </w:p>
    <w:p w:rsidR="00C85100" w:rsidRDefault="00C85100" w:rsidP="00C85100">
      <w:pPr>
        <w:autoSpaceDE w:val="0"/>
        <w:autoSpaceDN w:val="0"/>
        <w:adjustRightInd w:val="0"/>
        <w:spacing w:line="360" w:lineRule="auto"/>
      </w:pPr>
      <w:r>
        <w:t xml:space="preserve">4) </w:t>
      </w:r>
      <w:r w:rsidR="002E3C7F">
        <w:t>Графики</w:t>
      </w:r>
    </w:p>
    <w:p w:rsidR="00902945" w:rsidRDefault="00902945" w:rsidP="00902945">
      <w:pPr>
        <w:spacing w:line="360" w:lineRule="auto"/>
        <w:ind w:firstLine="709"/>
        <w:rPr>
          <w:szCs w:val="28"/>
        </w:rPr>
      </w:pPr>
      <w:r w:rsidRPr="00902945">
        <w:rPr>
          <w:szCs w:val="28"/>
        </w:rPr>
        <w:t>Для одномод</w:t>
      </w:r>
      <w:r>
        <w:rPr>
          <w:szCs w:val="28"/>
        </w:rPr>
        <w:t>овых волокон, соответствующих [</w:t>
      </w:r>
      <w:r w:rsidRPr="00902945">
        <w:rPr>
          <w:szCs w:val="28"/>
        </w:rPr>
        <w:t xml:space="preserve">24], длина волны с нулевой дисперсией, находится в промежутке между длинами волн 1300 </w:t>
      </w:r>
      <w:proofErr w:type="spellStart"/>
      <w:r w:rsidRPr="00902945">
        <w:rPr>
          <w:szCs w:val="28"/>
        </w:rPr>
        <w:t>нм</w:t>
      </w:r>
      <w:proofErr w:type="spellEnd"/>
      <w:r w:rsidRPr="00902945">
        <w:rPr>
          <w:szCs w:val="28"/>
        </w:rPr>
        <w:t xml:space="preserve"> и 1324 </w:t>
      </w:r>
      <w:proofErr w:type="spellStart"/>
      <w:r w:rsidRPr="00902945">
        <w:rPr>
          <w:szCs w:val="28"/>
        </w:rPr>
        <w:t>нм</w:t>
      </w:r>
      <w:proofErr w:type="spellEnd"/>
      <w:r w:rsidRPr="00902945">
        <w:rPr>
          <w:szCs w:val="28"/>
        </w:rPr>
        <w:t xml:space="preserve">, так что волокно оптимизировано в области 1310 </w:t>
      </w:r>
      <w:proofErr w:type="spellStart"/>
      <w:r w:rsidRPr="00902945">
        <w:rPr>
          <w:szCs w:val="28"/>
        </w:rPr>
        <w:t>нм</w:t>
      </w:r>
      <w:proofErr w:type="spellEnd"/>
      <w:r w:rsidRPr="00902945">
        <w:rPr>
          <w:szCs w:val="28"/>
        </w:rPr>
        <w:t xml:space="preserve">. Эти значения длин волн и соответствующие требования на крутизну характеристики волокна с нулевой дисперсией определяют максимально допустимые абсолютные значения коэффициента дисперсии (определяемого посредством волокон, имеющих минимальные и максимальные длины волн с нулевой дисперсией), приведенного на рисунке А.2. </w:t>
      </w:r>
    </w:p>
    <w:p w:rsidR="00902945" w:rsidRDefault="00902945" w:rsidP="00902945">
      <w:pPr>
        <w:spacing w:line="360" w:lineRule="auto"/>
        <w:ind w:firstLine="709"/>
        <w:rPr>
          <w:szCs w:val="28"/>
        </w:rPr>
      </w:pPr>
      <w:r w:rsidRPr="00902945">
        <w:rPr>
          <w:szCs w:val="28"/>
        </w:rPr>
        <w:t xml:space="preserve">Для волокна, соответствующего [25], допустимый диапазон длин волн, соответствующих нулевой дисперсии волокна, находится в пределах 1500 </w:t>
      </w:r>
      <w:proofErr w:type="spellStart"/>
      <w:r w:rsidRPr="00902945">
        <w:rPr>
          <w:szCs w:val="28"/>
        </w:rPr>
        <w:t>нм</w:t>
      </w:r>
      <w:proofErr w:type="spellEnd"/>
      <w:r w:rsidRPr="00902945">
        <w:rPr>
          <w:szCs w:val="28"/>
        </w:rPr>
        <w:t xml:space="preserve"> и 1600 </w:t>
      </w:r>
      <w:proofErr w:type="spellStart"/>
      <w:r w:rsidRPr="00902945">
        <w:rPr>
          <w:szCs w:val="28"/>
        </w:rPr>
        <w:t>нм</w:t>
      </w:r>
      <w:proofErr w:type="spellEnd"/>
      <w:r w:rsidRPr="00902945">
        <w:rPr>
          <w:szCs w:val="28"/>
        </w:rPr>
        <w:t xml:space="preserve">, так что волокно является оптимизированным в области 1550 </w:t>
      </w:r>
      <w:proofErr w:type="spellStart"/>
      <w:r w:rsidRPr="00902945">
        <w:rPr>
          <w:szCs w:val="28"/>
        </w:rPr>
        <w:t>нм</w:t>
      </w:r>
      <w:proofErr w:type="spellEnd"/>
      <w:r w:rsidRPr="00902945">
        <w:rPr>
          <w:szCs w:val="28"/>
        </w:rPr>
        <w:t>.</w:t>
      </w:r>
    </w:p>
    <w:p w:rsidR="005E2F7D" w:rsidRPr="004F4091" w:rsidRDefault="005E2F7D" w:rsidP="00C85100">
      <w:pPr>
        <w:autoSpaceDE w:val="0"/>
        <w:autoSpaceDN w:val="0"/>
        <w:adjustRightInd w:val="0"/>
        <w:spacing w:line="360" w:lineRule="auto"/>
        <w:ind w:firstLine="709"/>
        <w:rPr>
          <w:highlight w:val="yellow"/>
        </w:rPr>
      </w:pPr>
    </w:p>
    <w:p w:rsidR="00C85100" w:rsidRPr="00817773" w:rsidRDefault="007D10C0" w:rsidP="00706322">
      <w:pPr>
        <w:autoSpaceDE w:val="0"/>
        <w:autoSpaceDN w:val="0"/>
        <w:adjustRightInd w:val="0"/>
        <w:spacing w:line="360" w:lineRule="auto"/>
        <w:rPr>
          <w:rFonts w:eastAsia="Calibri"/>
          <w:szCs w:val="28"/>
        </w:rPr>
      </w:pPr>
      <w:r w:rsidRPr="005E2F7D">
        <w:rPr>
          <w:rFonts w:eastAsia="Calibri"/>
          <w:szCs w:val="28"/>
        </w:rPr>
        <w:t xml:space="preserve">Рисунок </w:t>
      </w:r>
      <w:r w:rsidR="00B03920">
        <w:rPr>
          <w:rFonts w:eastAsia="Calibri"/>
          <w:szCs w:val="28"/>
        </w:rPr>
        <w:t>А.</w:t>
      </w:r>
      <w:r w:rsidR="00902945">
        <w:rPr>
          <w:rFonts w:eastAsia="Calibri"/>
          <w:szCs w:val="28"/>
        </w:rPr>
        <w:t>2</w:t>
      </w:r>
      <w:r w:rsidRPr="005E2F7D">
        <w:rPr>
          <w:rFonts w:eastAsia="Calibri"/>
          <w:szCs w:val="28"/>
        </w:rPr>
        <w:t xml:space="preserve">: </w:t>
      </w:r>
      <w:r w:rsidR="00902945" w:rsidRPr="00902945">
        <w:rPr>
          <w:rFonts w:eastAsia="Calibri"/>
          <w:szCs w:val="28"/>
        </w:rPr>
        <w:t xml:space="preserve">Максимальная абсолютная величина коэффициента дисперсии |σ| для </w:t>
      </w:r>
      <w:proofErr w:type="gramStart"/>
      <w:r w:rsidR="00902945" w:rsidRPr="00902945">
        <w:rPr>
          <w:rFonts w:eastAsia="Calibri"/>
          <w:szCs w:val="28"/>
        </w:rPr>
        <w:t>ОК</w:t>
      </w:r>
      <w:proofErr w:type="gramEnd"/>
      <w:r w:rsidR="00902945" w:rsidRPr="00902945">
        <w:rPr>
          <w:rFonts w:eastAsia="Calibri"/>
          <w:szCs w:val="28"/>
        </w:rPr>
        <w:t xml:space="preserve"> по [ 24 ] в диапазоне длин волн 1310 </w:t>
      </w:r>
      <w:proofErr w:type="spellStart"/>
      <w:r w:rsidR="00902945" w:rsidRPr="00902945">
        <w:rPr>
          <w:rFonts w:eastAsia="Calibri"/>
          <w:szCs w:val="28"/>
        </w:rPr>
        <w:t>нм</w:t>
      </w:r>
      <w:proofErr w:type="spellEnd"/>
      <w:r w:rsidR="00902945">
        <w:rPr>
          <w:rFonts w:eastAsia="Calibri"/>
          <w:szCs w:val="28"/>
        </w:rPr>
        <w:t>.</w:t>
      </w:r>
    </w:p>
    <w:p w:rsidR="00C85100" w:rsidRDefault="002E3C7F" w:rsidP="002E3C7F">
      <w:pPr>
        <w:autoSpaceDE w:val="0"/>
        <w:autoSpaceDN w:val="0"/>
        <w:adjustRightInd w:val="0"/>
        <w:spacing w:line="360" w:lineRule="auto"/>
      </w:pPr>
      <w:r>
        <w:rPr>
          <w:noProof/>
        </w:rPr>
        <w:drawing>
          <wp:inline distT="0" distB="0" distL="0" distR="0" wp14:anchorId="07E83CC4" wp14:editId="736FE771">
            <wp:extent cx="5943600" cy="3806190"/>
            <wp:effectExtent l="0" t="0" r="0" b="381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0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100" w:rsidRPr="00C85100" w:rsidRDefault="00C85100" w:rsidP="00C85100"/>
    <w:sectPr w:rsidR="00C85100" w:rsidRPr="00C8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7693"/>
    <w:multiLevelType w:val="hybridMultilevel"/>
    <w:tmpl w:val="55D41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34699"/>
    <w:multiLevelType w:val="hybridMultilevel"/>
    <w:tmpl w:val="77B84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B1759"/>
    <w:multiLevelType w:val="hybridMultilevel"/>
    <w:tmpl w:val="E7507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83085"/>
    <w:multiLevelType w:val="hybridMultilevel"/>
    <w:tmpl w:val="F954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235A5DE9"/>
    <w:multiLevelType w:val="hybridMultilevel"/>
    <w:tmpl w:val="E8022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C62596"/>
    <w:multiLevelType w:val="hybridMultilevel"/>
    <w:tmpl w:val="40D21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3"/>
  </w:num>
  <w:num w:numId="11">
    <w:abstractNumId w:val="2"/>
  </w:num>
  <w:num w:numId="12">
    <w:abstractNumId w:val="0"/>
  </w:num>
  <w:num w:numId="13">
    <w:abstractNumId w:val="6"/>
  </w:num>
  <w:num w:numId="14">
    <w:abstractNumId w:val="5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100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11F7"/>
    <w:rsid w:val="0004196A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15B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04F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41D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1762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5FD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888"/>
    <w:rsid w:val="001D0AAA"/>
    <w:rsid w:val="001D0BE7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3C7F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F0A5B"/>
    <w:rsid w:val="002F0BDC"/>
    <w:rsid w:val="002F187C"/>
    <w:rsid w:val="002F3197"/>
    <w:rsid w:val="002F31A6"/>
    <w:rsid w:val="002F3FA3"/>
    <w:rsid w:val="002F4018"/>
    <w:rsid w:val="002F4102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555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A10"/>
    <w:rsid w:val="00411FE6"/>
    <w:rsid w:val="00412177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55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940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091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66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BA2"/>
    <w:rsid w:val="005A6D76"/>
    <w:rsid w:val="005A6E41"/>
    <w:rsid w:val="005A70A4"/>
    <w:rsid w:val="005A728B"/>
    <w:rsid w:val="005A72EC"/>
    <w:rsid w:val="005A73E2"/>
    <w:rsid w:val="005A76F1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2F7D"/>
    <w:rsid w:val="005E323C"/>
    <w:rsid w:val="005E33D8"/>
    <w:rsid w:val="005E41AE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15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66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6322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CA8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F05"/>
    <w:rsid w:val="007C160C"/>
    <w:rsid w:val="007C1702"/>
    <w:rsid w:val="007C1BA7"/>
    <w:rsid w:val="007C2119"/>
    <w:rsid w:val="007C2AC0"/>
    <w:rsid w:val="007C2BFB"/>
    <w:rsid w:val="007C307F"/>
    <w:rsid w:val="007C34BE"/>
    <w:rsid w:val="007C3816"/>
    <w:rsid w:val="007C45F7"/>
    <w:rsid w:val="007C4A31"/>
    <w:rsid w:val="007C53EE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0C0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29A"/>
    <w:rsid w:val="00816B73"/>
    <w:rsid w:val="008177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912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DAA"/>
    <w:rsid w:val="008615A8"/>
    <w:rsid w:val="00861767"/>
    <w:rsid w:val="008618EA"/>
    <w:rsid w:val="00861A18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945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12C"/>
    <w:rsid w:val="009601C8"/>
    <w:rsid w:val="009609D1"/>
    <w:rsid w:val="00960ED6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121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3CB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ADA"/>
    <w:rsid w:val="009D2BBD"/>
    <w:rsid w:val="009D2C36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3920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D04"/>
    <w:rsid w:val="00B95EB5"/>
    <w:rsid w:val="00B966F8"/>
    <w:rsid w:val="00B96E75"/>
    <w:rsid w:val="00B973E9"/>
    <w:rsid w:val="00B97723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914"/>
    <w:rsid w:val="00C45E4B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00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4D6A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3A5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71F0"/>
    <w:rsid w:val="00DF774B"/>
    <w:rsid w:val="00DF7E02"/>
    <w:rsid w:val="00E00199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129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54166D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2E3C7F"/>
    <w:pPr>
      <w:spacing w:before="100" w:beforeAutospacing="1" w:after="100" w:afterAutospacing="1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54166D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2E3C7F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7</cp:revision>
  <dcterms:created xsi:type="dcterms:W3CDTF">2016-10-06T08:28:00Z</dcterms:created>
  <dcterms:modified xsi:type="dcterms:W3CDTF">2021-02-28T13:44:00Z</dcterms:modified>
</cp:coreProperties>
</file>